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A00D1A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>26.11.2020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>Филиал ПАО «ФСК ЕЭС» – Северное ПМЭС;</w:t>
            </w:r>
          </w:p>
          <w:p w:rsidR="00963E95" w:rsidRPr="00C7407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>Архангельская дистанция электроснабжения – структурное подразделение Северной дирекции по энергоснабжению - структурного подразделения Трансэнерго – филиала ОАО «РЖД»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A00D1A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>РП 220 кВ Первомайский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A00D1A" w:rsidP="00166C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>Выделение энергорайона на изолированную от ЕЭС России работу, а также неправильные действия защитных устройств и (или) систем автоматики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26.11.2020 в 19:24:41 при производстве переключений по вводу в работу В 220 Плесецк-1 на РП 220 кВ Первомайский произошло разрушение ввода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ф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.С</w:t>
            </w:r>
            <w:proofErr w:type="spellEnd"/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В 220 кВ Плесецк-1 в сторону ВЛ с отключением ВЛ 220 кВ Первомайский – Плесецк I цепь с отпайками на ПС 220 кВ Первомайский действием ТО и 1 ст. ТЗНП 1680А и 1176 А в КСЗ 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220 кВ Первомайский – Плесецк I цепь с отпайками. </w:t>
            </w:r>
          </w:p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В 19:24:41.58 на ПС 220 кВ Обозерская отключился МВ-220-1АТ правильным действием 3 ст. ТЗНП по цепи ОУ (↑108А / 0,5 с) в КСЗ 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220 кВ Первомайский – Плесецк I цепь с отпайками.</w:t>
            </w:r>
          </w:p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В 19:24:42.43 на ПС 220 кВ Савино отключился МВ-110-1АТ правильным действием 2 ст. ТЗНП (↑450 А / 0,8 с) в КСЗ 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220 кВ Первомайский – Плесецк I цепь с отпайками в сторону ПС 220 кВ Обозерская (подпитка места КЗ осуществляется от ПС 220 кВ Плесецк).</w:t>
            </w:r>
          </w:p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В 19:24:44.64 на ПС 220 кВ Плесецк отключился 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СВ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220 действием 3 ст. ТЗНП (300 А / 3,5 с) в КСЗ СВ 220 (подпитка места КЗ осуществляется от ПС 220 кВ Плесецк через ОВ 220 кВ со стороны РП 220 кВ Первомайский по ВЛ 220 кВ Первомайский – Плесецк II цепь с отпайками и стороне 220 кВ 2АТ на ПС 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220 кВ Обозерская и 2АТ ПС 220 кВ Савино).</w:t>
            </w:r>
            <w:proofErr w:type="gramEnd"/>
          </w:p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В 19:24:45.96 на ПС 220 кВ Обозерская произошло неуспешное АПВ МВ-220-1АТ и правильным срабатыванием 3 ст. ТЗНП по цепи АУ в КСЗ 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220 кВ ВЛ 220 кВ Первомайский – Плесецк I цепь с отпайками (↑108 А /0,5 с).</w:t>
            </w:r>
          </w:p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В 19:24:46.36 на ПС 220 кВ Савино отключился СВ-110 правильным действием ТЗНП-220 в КСЗ ст. 220 1АТ на ПС 220 кВ Савино (30 А / 5,5 с) (подпитка места 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КЗ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через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нейтраль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АТ).</w:t>
            </w:r>
          </w:p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В 19:24:46.53 на ПС 220 кВ Савино отключился МВ-110-2АТ действием 4 ст. ТЗНП в КСЗ 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220 кВ Первомайский – Плесецк II цепь в сторону ПС Плесецк (96 А / 5,5 с) (протекание тока через связь 110 кВ на ПС 220 кВ Плесецк).</w:t>
            </w:r>
          </w:p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В 19:24:46.53 на РП 220 кВ Первомайский отключился В 220 Плесецк-2 действием 4 ст. ТЗНП в КСЗ 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220 кВ ВЛ 220 кВ Первомайский – Плесецк II цепь с отпайками (↑60 А / 5,5 с) из-за отказа защит ОВ 220 на ПС 220 кВ Плесецк.</w:t>
            </w:r>
          </w:p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В 19:24:46.53 на ПС 220 кВ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Няндома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отключились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ф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.С</w:t>
            </w:r>
            <w:proofErr w:type="spellEnd"/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В-13 и В-23 </w:t>
            </w:r>
            <w:r w:rsidRPr="00A00D1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действием 4 ст. ТЗНП в КСЗ ВЛ 220 кВ Плесецк –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Няндома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(60 А / 5,0 с) из-за отказа защит ОВ 220 на ПС 220 кВ Плесецк.</w:t>
            </w:r>
          </w:p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В 19:24:46.73 на ПС 220 кВ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Няндома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отключились ф. А и В В-13 и В-23 действием 4 ст. ТЗНП в КСЗ 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220 кВ Плесецк –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Няндома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(60 А / 5,0 с) из-за отказа защит ОВ 220 на ПС 220 кВ Плесецк, при этом, по принципу действия, произошел останов ВЧ-передатчика ВЧЗ ВЛ 220 кВ Плесецк –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Няндома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В 19:24:47.24 на ПС 220 кВ Плесецк отключилась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ф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.С</w:t>
            </w:r>
            <w:proofErr w:type="spellEnd"/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В 220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Няндома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излишним неправильным срабатыванием ВЧЗ ВЛ 220 кВ Плесецк –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Няндома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с пуском ОАПВ ф. «С» из-за первоначального однофазного отключения ВЛ 220 кВ Плесецк –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Няндома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со стороны ПС 220 кВ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Няндома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от 4 ст. ТЗНП с возникновением по линии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неполнофазного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нагрузочного режима и вызванным этим реверсом мощности нулевой последовательности и снятием блокирующего сигнала после трехфазного отключения 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220 кВ Плесецк –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Няндома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со стороны ПС 220 кВ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Няндома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>В 19:24:47.52 на ПС 220 кВ Савино отключился 1АТ – работа ОД-КЗ 1АТ правильным действием ТЗНП 220 в КСЗ ст. 220 1АТ (30 А / 6,5 с), с пуском ПРД 152 кГц и передачей 1 команды.</w:t>
            </w:r>
          </w:p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В 19:24:47.55 на ПС 220 кВ Плесецк отключился ОВ 220 действием 1 команды ПРМ АНКА 152 кГц 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220 кВ Первомайский – Плесецк I, II цепь с отпайками, что привело к ликвидации КЗ на ВЛ 220 кВ Первомайский – Плесецк I цепь.</w:t>
            </w:r>
          </w:p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В 19:24:47.85 успешное АПВ 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СВ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220 кВ на ПС 220 кВ Плесецк.</w:t>
            </w:r>
          </w:p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В 19:24:48.35 на ПС 220 кВ Плесецк произошло успешное ОАПВ ф. С 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220 кВ Плесецк –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Няндома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В 19:24:49.32 на ПС 220 кВ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Няндома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произошло успешное включение от АПВ с КС В-13.</w:t>
            </w:r>
          </w:p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В 19:25:09.83 на ПС 110 кВ Первомайская отключился МВ ВЛ-110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Кехта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правильным действием АОПО 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110 кВ Первомайская –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Кехта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– (196 А / 20,0 с).</w:t>
            </w:r>
          </w:p>
          <w:p w:rsidR="00963E95" w:rsidRPr="00C7407A" w:rsidRDefault="00A00D1A" w:rsidP="00A00D1A">
            <w:pPr>
              <w:pStyle w:val="Standard"/>
              <w:jc w:val="both"/>
              <w:rPr>
                <w:color w:val="FF0000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В 19:25:26 на ПС 110 кВ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Мудьюга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Тяговая отключился СМВ-110 и МВ-110-2Т от 3 ст. правильным действием ДЗ 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110 кВ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Мудьюга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–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Вонгуда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– (222 Ом/ф 3,5 с) из-за отказа 1 ступени АЛАР ВЛ 110 кВ Обозерская –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Кодино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при наступившем асинхронном режиме.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A00D1A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Архангельский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энергорайон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выделился на изолированную от ЕЭС России работу,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произошши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сбой в движении 13 поездов (в среднем на 30 мин.), сбой в работе автоматики управления от ПС 110 кВ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Малошуйка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Тяговая до ПС 220 кВ Обозерская, также повысились уровни напряжения в сети 110 и 220 кВ в точках раздела (ПС 220 кВ Плесецк - 258 кВ, ПС 110 кВ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Кодино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- 133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кВ, ПС 110 кВ Емецк -130 кВ).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>1.1</w:t>
            </w:r>
            <w:r w:rsidRPr="00A00D1A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Разрушение внешней изоляции высоковольтного ввода фазы «С» в сторону 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выключателя В 220 кВ Плесецк-1 на РП Первомайский с перекрытием фазы «С» на землю.;</w:t>
            </w:r>
          </w:p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>1.2</w:t>
            </w:r>
            <w:r w:rsidRPr="00A00D1A">
              <w:rPr>
                <w:rFonts w:ascii="Times New Roman" w:eastAsia="Times New Roman" w:hAnsi="Times New Roman" w:cs="Times New Roman"/>
                <w:color w:val="auto"/>
              </w:rPr>
              <w:tab/>
              <w:t>Отказ в работе основного комплекта КСЗ ОВ 220 на ПС 220 кВ Плесе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цк всл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едствие повреждения в работе блока логики ТЗНП (Л1010) после 28 лет эксплуатации;</w:t>
            </w:r>
          </w:p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>1.3</w:t>
            </w:r>
            <w:r w:rsidRPr="00A00D1A">
              <w:rPr>
                <w:rFonts w:ascii="Times New Roman" w:eastAsia="Times New Roman" w:hAnsi="Times New Roman" w:cs="Times New Roman"/>
                <w:color w:val="auto"/>
              </w:rPr>
              <w:tab/>
              <w:t>Изменение характеристик полупроводникового реле времени КТ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>(тип РВ01) вследствие износа в связи с превышением срока службы;</w:t>
            </w:r>
          </w:p>
          <w:p w:rsidR="00963E95" w:rsidRPr="00C7407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1.4</w:t>
            </w:r>
            <w:r w:rsidRPr="00A00D1A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Отказ АПВ В-23 на ПС 220 кВ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Няндома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по причине неисправности реле КСС-1;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>2.1  Отключение ВЛ 220 кВ Первомайский - Плесецк I цепь с отпайками на РП 220 кВ Первомайский произошло вследствие разрушения внешней изоляции высоковольтного ввода фазы «С» в сторону ВЛ выключателя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В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220 кВ Плесецк-1 на РП Первомайский с перекрытием фазы «С» на землю по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невыявленной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причине;</w:t>
            </w:r>
          </w:p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>2.2 Отказ в работе КСЗ ОВ 220 на ПС 220 кВ Плесецк произошел в результате повреждения блока логики ТЗНП (Л1010) основного комплекта ступенчатых защит на ПС 220 кВ Плесецк, вследствие длительного периода эксплуатации (28 лет). Дефект визуально не определяется. При последнем проведенном в апреле 2020 года ТО КСЗ ОВ 220 в объеме К, дефектов не зафиксировано, устройство было исправно;</w:t>
            </w:r>
          </w:p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2.3 Отказ 1 ступени АЛАР 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110 кВ Обозерская –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Кодино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на ПС 220 кВ Обозерская (реле времени КТ1 не успевает встать на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самоподхват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из-за заниженного времени возврата (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Тв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= 0,0063 сек.));</w:t>
            </w:r>
          </w:p>
          <w:p w:rsidR="00963E95" w:rsidRPr="003A30A1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2.4 Отказ АПВ В-23 на ПС 220 кВ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Няндома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по причине неисправности реле КСС-1 типа РП-16-34;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>3.1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Н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а ПС 220 кВ Плесецк Филиала ПАО «ФСК ЕЭС» Северное ПМЭС информацию о состоянии выключателей и выходных реле защит всех присоединений 220 кВ (за исключением ШСВ 220 и ОВ 220) вывести на дискретные входы РАС;</w:t>
            </w:r>
          </w:p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3.2 На РП 220 кВ Первомайский Филиала ПАО «ФСК ЕЭС» Северное ПМЭС информацию о состоянии выключателей и выходных реле защит всех присоединений 220 кВ (за исключением 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СВ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220 и ОВ 220) вывести на дискретные входы РАС;</w:t>
            </w:r>
          </w:p>
          <w:p w:rsidR="00963E95" w:rsidRPr="00C7407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3.3 На ПС 220 кВ Плесецк Филиала ПАО «ФСК ЕЭС» Северное ПМЭС подключить цепи ПРД/ПРМ ВЧЗ 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220 кВ Плесецк –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Няндома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к аналоговым каналам РАС.</w:t>
            </w: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>4.1 Филиалу ПАО «ФСК ЕЭС» Северное ПМЭС провести анализ повреждаемости вводов производства ООО «Масса»  с RIP изоляцией масляных баковых выключателей 220 кВ;</w:t>
            </w:r>
          </w:p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4.2 Филиалу ПАО «ФСК ЕЭС» Северное ПМЭС направить 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на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завод-изготовитель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ООО «Масса» поврежденный ввод выключателя для определения причин повреждения высоковольтного ввода на базе завода-изготовителя и получения рекомендаций по эксплуатации данных вводов от ООО «Масса» для учета в эксплуатации;</w:t>
            </w:r>
          </w:p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4.3 Филиалу АО «СО ЕЭС» Архангельское РДУ проработать вопрос об исключении действия ступеней резервных защит, осуществляющих функцию дальнего резервирования, через схему ОАПВ на ПС 220 кВ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Няндома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 По результатам рассмотрения направить субъекту задание на корректировку параметров настройки резервных защит 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220 кВ Плесецк –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Няндома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(ВЛ 220 кВ Коноша –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Няндома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) на ПС 220 кВ </w:t>
            </w:r>
            <w:proofErr w:type="spell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Няндома</w:t>
            </w:r>
            <w:proofErr w:type="spell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3A30A1" w:rsidRPr="003A30A1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4.4 Филиалу АО «СО ЕЭС» Архангельское РДУ совместно с филиалом ПАО «ФСК ЕЭС» Северное ПМЭС, Архангельской ТЭЦ и Северодвинской ТЭЦ-1 ПАО «ТГК-2» провести общесистемную контрольную тренировку по теме «Отключение ЛЭП 220 кВ с </w:t>
            </w:r>
            <w:r w:rsidRPr="00A00D1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отказом РЗА с последующим выделением части Архангельской ЭС на изолированную работу».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>5.1 Строго соблюдать оперативным персоналом требования инструкций по квитированию ключей управления выключателей на ПС;</w:t>
            </w:r>
          </w:p>
          <w:p w:rsidR="00A00D1A" w:rsidRPr="00A00D1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>5.2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О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беспечить эксплуатацию оборудования в строгом соответствии с производственными инструкциями и требованиями заводов-изготовителей;</w:t>
            </w:r>
          </w:p>
          <w:p w:rsidR="00963E95" w:rsidRPr="00C7407A" w:rsidRDefault="00A00D1A" w:rsidP="00A00D1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5.3 Постоянно повышать качество </w:t>
            </w:r>
            <w:proofErr w:type="gramStart"/>
            <w:r w:rsidRPr="00A00D1A">
              <w:rPr>
                <w:rFonts w:ascii="Times New Roman" w:eastAsia="Times New Roman" w:hAnsi="Times New Roman" w:cs="Times New Roman"/>
                <w:color w:val="auto"/>
              </w:rPr>
              <w:t>контроля за</w:t>
            </w:r>
            <w:proofErr w:type="gramEnd"/>
            <w:r w:rsidRPr="00A00D1A">
              <w:rPr>
                <w:rFonts w:ascii="Times New Roman" w:eastAsia="Times New Roman" w:hAnsi="Times New Roman" w:cs="Times New Roman"/>
                <w:color w:val="auto"/>
              </w:rPr>
              <w:t xml:space="preserve"> техническим состоянием оборудования, устройств защиты и автоматики персоналом.</w:t>
            </w:r>
          </w:p>
        </w:tc>
      </w:tr>
      <w:tr w:rsidR="00C7407A" w:rsidRPr="00C7407A" w:rsidTr="00A00D1A">
        <w:trPr>
          <w:trHeight w:val="530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A00D1A" w:rsidP="003A30A1">
            <w:pPr>
              <w:pStyle w:val="TableContents"/>
              <w:ind w:left="-105"/>
              <w:rPr>
                <w:color w:val="FF0000"/>
              </w:rPr>
            </w:pPr>
            <w:bookmarkStart w:id="0" w:name="_GoBack"/>
            <w:r>
              <w:rPr>
                <w:noProof/>
                <w:color w:val="FF0000"/>
              </w:rPr>
              <w:drawing>
                <wp:inline distT="0" distB="0" distL="0" distR="0" wp14:anchorId="04FD8779" wp14:editId="0D42CF0E">
                  <wp:extent cx="4581525" cy="3333750"/>
                  <wp:effectExtent l="0" t="0" r="9525" b="0"/>
                  <wp:docPr id="1" name="Рисунок 1" descr="\\bozar\users\14_ОЭН\1_Общее\Аварии\2020\РП 220 кВ Первомайский\Материалы\IMG_1986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bozar\users\14_ОЭН\1_Общее\Аварии\2020\РП 220 кВ Первомайский\Материалы\IMG_1986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8"/>
      <w:footerReference w:type="default" r:id="rId9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D09" w:rsidRDefault="000D4D09">
      <w:r>
        <w:separator/>
      </w:r>
    </w:p>
  </w:endnote>
  <w:endnote w:type="continuationSeparator" w:id="0">
    <w:p w:rsidR="000D4D09" w:rsidRDefault="000D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D09" w:rsidRDefault="000D4D09">
      <w:r>
        <w:separator/>
      </w:r>
    </w:p>
  </w:footnote>
  <w:footnote w:type="continuationSeparator" w:id="0">
    <w:p w:rsidR="000D4D09" w:rsidRDefault="000D4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5"/>
    <w:rsid w:val="00014009"/>
    <w:rsid w:val="000D4D09"/>
    <w:rsid w:val="00132C6E"/>
    <w:rsid w:val="00166C5F"/>
    <w:rsid w:val="001C73DF"/>
    <w:rsid w:val="003A30A1"/>
    <w:rsid w:val="004605DA"/>
    <w:rsid w:val="00683D53"/>
    <w:rsid w:val="007B7F30"/>
    <w:rsid w:val="00963E95"/>
    <w:rsid w:val="00982E1F"/>
    <w:rsid w:val="00A00D1A"/>
    <w:rsid w:val="00B141F2"/>
    <w:rsid w:val="00BC2E3E"/>
    <w:rsid w:val="00C44131"/>
    <w:rsid w:val="00C7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U039</cp:lastModifiedBy>
  <cp:revision>7</cp:revision>
  <cp:lastPrinted>2022-12-26T12:32:00Z</cp:lastPrinted>
  <dcterms:created xsi:type="dcterms:W3CDTF">2022-12-27T07:08:00Z</dcterms:created>
  <dcterms:modified xsi:type="dcterms:W3CDTF">2023-01-25T12:19:00Z</dcterms:modified>
</cp:coreProperties>
</file>